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 w:hAnsi="仿宋" w:eastAsia="仿宋" w:cs="仿宋"/>
          <w:b w:val="0"/>
          <w:bCs/>
          <w:kern w:val="0"/>
          <w:sz w:val="32"/>
          <w:szCs w:val="32"/>
          <w:lang w:val="en-US" w:eastAsia="zh-CN"/>
        </w:rPr>
      </w:pPr>
      <w:r>
        <w:rPr>
          <w:rFonts w:hint="eastAsia" w:ascii="仿宋" w:hAnsi="仿宋" w:eastAsia="仿宋" w:cs="仿宋"/>
          <w:b w:val="0"/>
          <w:bCs/>
          <w:kern w:val="0"/>
          <w:sz w:val="32"/>
          <w:szCs w:val="32"/>
          <w:lang w:eastAsia="zh-CN"/>
        </w:rPr>
        <w:t>附件</w:t>
      </w:r>
      <w:r>
        <w:rPr>
          <w:rFonts w:hint="eastAsia" w:ascii="仿宋" w:hAnsi="仿宋" w:eastAsia="仿宋" w:cs="仿宋"/>
          <w:b w:val="0"/>
          <w:bCs/>
          <w:kern w:val="0"/>
          <w:sz w:val="32"/>
          <w:szCs w:val="32"/>
          <w:lang w:val="en-US" w:eastAsia="zh-CN"/>
        </w:rPr>
        <w:t>2</w:t>
      </w:r>
    </w:p>
    <w:p>
      <w:pPr>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安徽省建设工程项目管理协会专家委员会管理办法</w:t>
      </w:r>
    </w:p>
    <w:p>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第一章  总  则</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 xml:space="preserve">第一条 </w:t>
      </w:r>
      <w:r>
        <w:rPr>
          <w:rFonts w:hint="eastAsia" w:ascii="仿宋" w:hAnsi="仿宋" w:eastAsia="仿宋" w:cs="仿宋"/>
          <w:sz w:val="30"/>
          <w:szCs w:val="30"/>
        </w:rPr>
        <w:t>为了充分发挥项目管理和全过程工程咨询行业专家的智慧和作用，正确把握行业技术发展方向，安徽省建设工程项目管理协会（以下简称协会）决定组建安徽省建筑工程项目管理协会专家委员会（以下简称专家委员会）。为规范专家委员会的工作，制定本办法。</w:t>
      </w:r>
    </w:p>
    <w:p>
      <w:pPr>
        <w:spacing w:line="360" w:lineRule="auto"/>
        <w:rPr>
          <w:rFonts w:hint="eastAsia" w:ascii="仿宋" w:hAnsi="仿宋" w:eastAsia="仿宋" w:cs="仿宋"/>
          <w:sz w:val="30"/>
          <w:szCs w:val="30"/>
        </w:rPr>
      </w:pPr>
      <w:r>
        <w:rPr>
          <w:rFonts w:hint="eastAsia" w:ascii="仿宋" w:hAnsi="仿宋" w:eastAsia="仿宋" w:cs="仿宋"/>
          <w:kern w:val="0"/>
          <w:sz w:val="30"/>
          <w:szCs w:val="30"/>
        </w:rPr>
        <w:t xml:space="preserve">第二条 </w:t>
      </w:r>
      <w:r>
        <w:rPr>
          <w:rFonts w:hint="eastAsia" w:ascii="仿宋" w:hAnsi="仿宋" w:eastAsia="仿宋" w:cs="仿宋"/>
          <w:sz w:val="30"/>
          <w:szCs w:val="30"/>
        </w:rPr>
        <w:t>专家委员会是协会行业技术咨询智库，在协会领导下开展工作，服务于安徽省项目管理和全过程工程咨询行业重大技术咨询，促进行业科学技术进步及新技术的研发和应用。</w:t>
      </w:r>
    </w:p>
    <w:p>
      <w:pPr>
        <w:spacing w:line="360" w:lineRule="auto"/>
        <w:rPr>
          <w:rFonts w:hint="eastAsia" w:ascii="仿宋" w:hAnsi="仿宋" w:eastAsia="仿宋" w:cs="仿宋"/>
          <w:sz w:val="30"/>
          <w:szCs w:val="30"/>
        </w:rPr>
      </w:pPr>
      <w:r>
        <w:rPr>
          <w:rFonts w:hint="eastAsia" w:ascii="仿宋" w:hAnsi="仿宋" w:eastAsia="仿宋" w:cs="仿宋"/>
          <w:kern w:val="0"/>
          <w:sz w:val="30"/>
          <w:szCs w:val="30"/>
        </w:rPr>
        <w:t>第三条 专家委员会的宗旨：坚持以习近平新时代中国特色社会主义思想为指导，深入落实党中央国务院的决策部署，围绕建设管理部门工作要求，发挥 “提供服务、反映诉求、规范行为”的作用，积极应对行业面临的机遇与挑战，配合推动工程建设管理制度改革，强化行业自律管理，落实工作职责，提升工作水平，推进项目管理和全过程工程咨询事业科学发展。</w:t>
      </w:r>
    </w:p>
    <w:p>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第二章 主要职责、权利和义务</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第四条 专家委员会委员主要职责：</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（一）了解、掌握和研究项目管理和全过程工程咨询行业发展动态，参与制订行业的发展战略、政策法规，及时向政府主管部门提供信息和工作建议；</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（二）总结项目管理和全过程工程咨询行业先进技术、经验，组织开发并推广应用先进技术，提出有利于行业技术发展的建议；</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（三）参与项目管理和全过程工程咨询相关教育培训课件编制及教材的编写工作，开展行业调查研究、专题研究、信息交流及技术讲座、业务培训等服务工作；</w:t>
      </w:r>
    </w:p>
    <w:p>
      <w:pPr>
        <w:spacing w:line="360" w:lineRule="auto"/>
        <w:rPr>
          <w:rFonts w:hint="eastAsia" w:ascii="仿宋" w:hAnsi="仿宋" w:eastAsia="仿宋" w:cs="仿宋"/>
          <w:sz w:val="30"/>
          <w:szCs w:val="30"/>
        </w:rPr>
      </w:pPr>
      <w:r>
        <w:rPr>
          <w:rFonts w:hint="eastAsia" w:ascii="仿宋" w:hAnsi="仿宋" w:eastAsia="仿宋" w:cs="仿宋"/>
          <w:kern w:val="0"/>
          <w:sz w:val="30"/>
          <w:szCs w:val="30"/>
        </w:rPr>
        <w:t>（四）</w:t>
      </w:r>
      <w:r>
        <w:rPr>
          <w:rFonts w:hint="eastAsia" w:ascii="仿宋" w:hAnsi="仿宋" w:eastAsia="仿宋" w:cs="仿宋"/>
          <w:sz w:val="30"/>
          <w:szCs w:val="30"/>
        </w:rPr>
        <w:t>对行业重点项目和疑难问题的解决方案提出咨询意见；</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（五）</w:t>
      </w:r>
      <w:r>
        <w:rPr>
          <w:rFonts w:hint="eastAsia" w:ascii="仿宋" w:hAnsi="仿宋" w:eastAsia="仿宋" w:cs="仿宋"/>
          <w:sz w:val="30"/>
          <w:szCs w:val="30"/>
        </w:rPr>
        <w:t>参与行业性奖项的评审、科技成果鉴定、团体标准制定、技术审定等工作</w:t>
      </w:r>
      <w:r>
        <w:rPr>
          <w:rFonts w:hint="eastAsia" w:ascii="仿宋" w:hAnsi="仿宋" w:eastAsia="仿宋" w:cs="仿宋"/>
          <w:kern w:val="0"/>
          <w:sz w:val="30"/>
          <w:szCs w:val="30"/>
        </w:rPr>
        <w:t>；</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（六）</w:t>
      </w:r>
      <w:r>
        <w:rPr>
          <w:rFonts w:hint="eastAsia" w:ascii="仿宋" w:hAnsi="仿宋" w:eastAsia="仿宋" w:cs="仿宋"/>
          <w:sz w:val="30"/>
          <w:szCs w:val="30"/>
        </w:rPr>
        <w:t>参加协会组织的社会公益活动</w:t>
      </w:r>
      <w:r>
        <w:rPr>
          <w:rFonts w:hint="eastAsia" w:ascii="仿宋" w:hAnsi="仿宋" w:eastAsia="仿宋" w:cs="仿宋"/>
          <w:kern w:val="0"/>
          <w:sz w:val="30"/>
          <w:szCs w:val="30"/>
        </w:rPr>
        <w:t>。</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第五条　专家委员会委员享有以下权利：</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（一）向专家委员会提出工作意见和建议；</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（二）在参与决策咨询过程中充分发表个人意见，并可保留个人意见和建议；</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（三）优先获取协会有关行业的相关资料；</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（四）自愿退出专家委员会。</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第六条 专家委员会委员的义务：</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（一）遵守国家法律、法规和专家委员会管理办法；</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（二）积极参加专家委员会的各项活动，凡两次及以上不参加或派代表参加活动的，不得连任专家委员会委员；</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（三）向专家委员会提供行业相关方面的资料和信息，提出研究、开发、推广应用先进适用管理技术的建议；</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（四）根据专家委员会的工作需要承担相应的义务。</w:t>
      </w:r>
    </w:p>
    <w:p>
      <w:pPr>
        <w:spacing w:line="360" w:lineRule="auto"/>
        <w:jc w:val="center"/>
        <w:rPr>
          <w:rFonts w:hint="eastAsia" w:ascii="仿宋" w:hAnsi="仿宋" w:eastAsia="仿宋" w:cs="仿宋"/>
          <w:b/>
          <w:kern w:val="0"/>
          <w:sz w:val="30"/>
          <w:szCs w:val="30"/>
        </w:rPr>
      </w:pPr>
    </w:p>
    <w:p>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第三章 </w:t>
      </w:r>
      <w:r>
        <w:rPr>
          <w:rFonts w:hint="eastAsia" w:ascii="仿宋" w:hAnsi="仿宋" w:eastAsia="仿宋" w:cs="仿宋"/>
          <w:b/>
          <w:sz w:val="30"/>
          <w:szCs w:val="30"/>
        </w:rPr>
        <w:t>聘任与解聘</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第七条 专家委员会委员应具备以下条件：</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（一）拥护党的路线和方针，热爱建设工程项目管理和全过程工程咨询事业，愿意为项目管理和全过程工程咨询行业发展服务；</w:t>
      </w:r>
    </w:p>
    <w:p>
      <w:pPr>
        <w:spacing w:line="360" w:lineRule="auto"/>
        <w:rPr>
          <w:rFonts w:hint="eastAsia" w:ascii="仿宋" w:hAnsi="仿宋" w:eastAsia="仿宋" w:cs="仿宋"/>
          <w:sz w:val="30"/>
          <w:szCs w:val="30"/>
        </w:rPr>
      </w:pPr>
      <w:r>
        <w:rPr>
          <w:rFonts w:hint="eastAsia" w:ascii="仿宋" w:hAnsi="仿宋" w:eastAsia="仿宋" w:cs="仿宋"/>
          <w:sz w:val="30"/>
          <w:szCs w:val="30"/>
        </w:rPr>
        <w:t>（二）坚持原则，实事求是，公平公正，敢于充分发表意见；</w:t>
      </w:r>
    </w:p>
    <w:p>
      <w:pPr>
        <w:spacing w:line="360" w:lineRule="auto"/>
        <w:rPr>
          <w:rFonts w:hint="eastAsia" w:ascii="仿宋" w:hAnsi="仿宋" w:eastAsia="仿宋" w:cs="仿宋"/>
          <w:kern w:val="0"/>
          <w:sz w:val="30"/>
          <w:szCs w:val="30"/>
        </w:rPr>
      </w:pPr>
      <w:r>
        <w:rPr>
          <w:rFonts w:hint="eastAsia" w:ascii="仿宋" w:hAnsi="仿宋" w:eastAsia="仿宋" w:cs="仿宋"/>
          <w:sz w:val="30"/>
          <w:szCs w:val="30"/>
        </w:rPr>
        <w:t>（三）具有严谨扎实的学术基础，具有较高的专业学术理论和业务水平。掌握并熟悉本专业的国内外现状和发展态势，了解全行业学术动态，具有前瞻性的独特见解。在本专业学术上具有较深的造诣、较高知名度和影响力；</w:t>
      </w:r>
    </w:p>
    <w:p>
      <w:pPr>
        <w:spacing w:line="360" w:lineRule="auto"/>
        <w:rPr>
          <w:rFonts w:hint="eastAsia" w:ascii="仿宋" w:hAnsi="仿宋" w:eastAsia="仿宋" w:cs="仿宋"/>
          <w:kern w:val="0"/>
          <w:sz w:val="30"/>
          <w:szCs w:val="30"/>
        </w:rPr>
      </w:pPr>
      <w:r>
        <w:rPr>
          <w:rFonts w:hint="eastAsia" w:ascii="仿宋" w:hAnsi="仿宋" w:eastAsia="仿宋" w:cs="仿宋"/>
          <w:sz w:val="30"/>
          <w:szCs w:val="30"/>
        </w:rPr>
        <w:t>（四）有10年以上技术工作经历，熟悉项目管理和全过程工程咨询行业情况，</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具有高级工程师或副教授及以上职称；</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（五）身体健康，能够参加专家委员会活动；</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（六）能够完成专家委员会安排的工作。</w:t>
      </w:r>
    </w:p>
    <w:p>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第八条 </w:t>
      </w:r>
      <w:r>
        <w:rPr>
          <w:rFonts w:hint="eastAsia" w:ascii="仿宋" w:hAnsi="仿宋" w:eastAsia="仿宋" w:cs="仿宋"/>
          <w:kern w:val="0"/>
          <w:sz w:val="30"/>
          <w:szCs w:val="30"/>
        </w:rPr>
        <w:t>专家委员会委员可由会员单位专家或社会资深专家组成，人选由会员单位、协会推荐，本人自愿，并填报申报表（见附件1.安徽省建设工程项目管理协会专家委员申报表），报安徽省建设工程项目管理协会秘书处审查，由会长办公会议审议批准。</w:t>
      </w:r>
      <w:r>
        <w:rPr>
          <w:rFonts w:hint="eastAsia" w:ascii="仿宋" w:hAnsi="仿宋" w:eastAsia="仿宋" w:cs="仿宋"/>
          <w:sz w:val="30"/>
          <w:szCs w:val="30"/>
        </w:rPr>
        <w:t>所有经审定的专家，由协会聘任，颁发专家证书，并上网公布。</w:t>
      </w:r>
    </w:p>
    <w:p>
      <w:pPr>
        <w:spacing w:line="360" w:lineRule="auto"/>
        <w:rPr>
          <w:rFonts w:hint="eastAsia" w:ascii="仿宋" w:hAnsi="仿宋" w:eastAsia="仿宋" w:cs="仿宋"/>
          <w:sz w:val="30"/>
          <w:szCs w:val="30"/>
        </w:rPr>
      </w:pPr>
      <w:r>
        <w:rPr>
          <w:rFonts w:hint="eastAsia" w:ascii="仿宋" w:hAnsi="仿宋" w:eastAsia="仿宋" w:cs="仿宋"/>
          <w:sz w:val="30"/>
          <w:szCs w:val="30"/>
        </w:rPr>
        <w:t>第九条 专家委员会成员凡有下列情形之一的，将取消专家委员资格，解除聘任，并上网公告。</w:t>
      </w:r>
    </w:p>
    <w:p>
      <w:pPr>
        <w:spacing w:line="360" w:lineRule="auto"/>
        <w:rPr>
          <w:rFonts w:hint="eastAsia" w:ascii="仿宋" w:hAnsi="仿宋" w:eastAsia="仿宋" w:cs="仿宋"/>
          <w:sz w:val="30"/>
          <w:szCs w:val="30"/>
        </w:rPr>
      </w:pPr>
      <w:r>
        <w:rPr>
          <w:rFonts w:hint="eastAsia" w:ascii="仿宋" w:hAnsi="仿宋" w:eastAsia="仿宋" w:cs="仿宋"/>
          <w:sz w:val="30"/>
          <w:szCs w:val="30"/>
        </w:rPr>
        <w:t>（一）连续两次缺席专家委员会开展的活动的；</w:t>
      </w:r>
    </w:p>
    <w:p>
      <w:pPr>
        <w:spacing w:line="360" w:lineRule="auto"/>
        <w:rPr>
          <w:rFonts w:hint="eastAsia" w:ascii="仿宋" w:hAnsi="仿宋" w:eastAsia="仿宋" w:cs="仿宋"/>
          <w:sz w:val="30"/>
          <w:szCs w:val="30"/>
        </w:rPr>
      </w:pPr>
      <w:r>
        <w:rPr>
          <w:rFonts w:hint="eastAsia" w:ascii="仿宋" w:hAnsi="仿宋" w:eastAsia="仿宋" w:cs="仿宋"/>
          <w:sz w:val="30"/>
          <w:szCs w:val="30"/>
        </w:rPr>
        <w:t>（二）在受委托开展的各项业务活动中，因违规收取报酬或礼（金）品等行为，被举报并经查实的；</w:t>
      </w:r>
    </w:p>
    <w:p>
      <w:pPr>
        <w:spacing w:line="360" w:lineRule="auto"/>
        <w:rPr>
          <w:rFonts w:hint="eastAsia" w:ascii="仿宋" w:hAnsi="仿宋" w:eastAsia="仿宋" w:cs="仿宋"/>
          <w:sz w:val="30"/>
          <w:szCs w:val="30"/>
        </w:rPr>
      </w:pPr>
      <w:r>
        <w:rPr>
          <w:rFonts w:hint="eastAsia" w:ascii="仿宋" w:hAnsi="仿宋" w:eastAsia="仿宋" w:cs="仿宋"/>
          <w:sz w:val="30"/>
          <w:szCs w:val="30"/>
        </w:rPr>
        <w:t>（三）参与有保密要求的活动而提前泄露信息的；</w:t>
      </w:r>
    </w:p>
    <w:p>
      <w:pPr>
        <w:spacing w:line="360" w:lineRule="auto"/>
        <w:rPr>
          <w:rFonts w:hint="eastAsia" w:ascii="仿宋" w:hAnsi="仿宋" w:eastAsia="仿宋" w:cs="仿宋"/>
          <w:sz w:val="30"/>
          <w:szCs w:val="30"/>
        </w:rPr>
      </w:pPr>
      <w:r>
        <w:rPr>
          <w:rFonts w:hint="eastAsia" w:ascii="仿宋" w:hAnsi="仿宋" w:eastAsia="仿宋" w:cs="仿宋"/>
          <w:sz w:val="30"/>
          <w:szCs w:val="30"/>
        </w:rPr>
        <w:t>（四）因身体或其他原因不能胜任本专业工作的。</w:t>
      </w:r>
    </w:p>
    <w:p>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第四章  组织与管理</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第十条 专家委员会设主任委员1名、副主任委员若干名，均从专家委员会成员中产生。专家委员会主任、副主任人选由安徽省建设工程项目管理协会秘书处提名，会长办公会审查、批准。</w:t>
      </w:r>
    </w:p>
    <w:p>
      <w:pPr>
        <w:tabs>
          <w:tab w:val="left" w:pos="1260"/>
        </w:tabs>
        <w:snapToGrid w:val="0"/>
        <w:spacing w:line="360" w:lineRule="auto"/>
        <w:rPr>
          <w:rFonts w:hint="eastAsia" w:ascii="仿宋" w:hAnsi="仿宋" w:eastAsia="仿宋" w:cs="仿宋"/>
          <w:sz w:val="30"/>
          <w:szCs w:val="30"/>
        </w:rPr>
      </w:pPr>
      <w:r>
        <w:rPr>
          <w:rFonts w:hint="eastAsia" w:ascii="仿宋" w:hAnsi="仿宋" w:eastAsia="仿宋" w:cs="仿宋"/>
          <w:sz w:val="30"/>
          <w:szCs w:val="30"/>
        </w:rPr>
        <w:t>第十一条 设立专家委员会办公室，为日常办事机构。专家委员会办公室设在协会秘书处，负责组织协调专家委员会的日常工作，包括会议通知、专家库建立、各类咨询评审计划安排等，受理专家建议和意见，办理领导交办的相关工作。</w:t>
      </w:r>
    </w:p>
    <w:p>
      <w:pPr>
        <w:tabs>
          <w:tab w:val="left" w:pos="1260"/>
        </w:tabs>
        <w:snapToGrid w:val="0"/>
        <w:spacing w:line="360" w:lineRule="auto"/>
        <w:rPr>
          <w:rFonts w:hint="eastAsia" w:ascii="仿宋" w:hAnsi="仿宋" w:eastAsia="仿宋" w:cs="仿宋"/>
          <w:sz w:val="30"/>
          <w:szCs w:val="30"/>
        </w:rPr>
      </w:pPr>
      <w:r>
        <w:rPr>
          <w:rFonts w:hint="eastAsia" w:ascii="仿宋" w:hAnsi="仿宋" w:eastAsia="仿宋" w:cs="仿宋"/>
          <w:kern w:val="0"/>
          <w:sz w:val="30"/>
          <w:szCs w:val="30"/>
        </w:rPr>
        <w:t>第十二条 专家委员会主任委员、副主任委员实行任期制，聘期与每届协会理事会任期相同，可连任。专家委员会委员</w:t>
      </w:r>
      <w:r>
        <w:rPr>
          <w:rFonts w:hint="eastAsia" w:ascii="仿宋" w:hAnsi="仿宋" w:eastAsia="仿宋" w:cs="仿宋"/>
          <w:sz w:val="30"/>
          <w:szCs w:val="30"/>
        </w:rPr>
        <w:t>实行动态管理，每一年充实调整一次。</w:t>
      </w:r>
    </w:p>
    <w:p>
      <w:pPr>
        <w:spacing w:line="360" w:lineRule="auto"/>
        <w:rPr>
          <w:rFonts w:hint="eastAsia" w:ascii="仿宋" w:hAnsi="仿宋" w:eastAsia="仿宋" w:cs="仿宋"/>
          <w:sz w:val="30"/>
          <w:szCs w:val="30"/>
        </w:rPr>
      </w:pPr>
      <w:r>
        <w:rPr>
          <w:rFonts w:hint="eastAsia" w:ascii="仿宋" w:hAnsi="仿宋" w:eastAsia="仿宋" w:cs="仿宋"/>
          <w:kern w:val="0"/>
          <w:sz w:val="30"/>
          <w:szCs w:val="30"/>
        </w:rPr>
        <w:t xml:space="preserve">第十三条 </w:t>
      </w:r>
      <w:r>
        <w:rPr>
          <w:rFonts w:hint="eastAsia" w:ascii="仿宋" w:hAnsi="仿宋" w:eastAsia="仿宋" w:cs="仿宋"/>
          <w:sz w:val="30"/>
          <w:szCs w:val="30"/>
        </w:rPr>
        <w:t>根据工作需要，专家委员会可召开全体会议、专项工作会议或专家组会议，研究专家委员会工作或对某项活动组织专项评审论证。</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 xml:space="preserve">第十四条 </w:t>
      </w:r>
      <w:r>
        <w:rPr>
          <w:rFonts w:hint="eastAsia" w:ascii="仿宋" w:hAnsi="仿宋" w:eastAsia="仿宋" w:cs="仿宋"/>
          <w:sz w:val="30"/>
          <w:szCs w:val="30"/>
        </w:rPr>
        <w:t>专家委员会要依照国家有关规定和本管理办法开展工作，健全监督自律制度。</w:t>
      </w:r>
      <w:r>
        <w:rPr>
          <w:rFonts w:hint="eastAsia" w:ascii="仿宋" w:hAnsi="仿宋" w:eastAsia="仿宋" w:cs="仿宋"/>
          <w:kern w:val="0"/>
          <w:sz w:val="30"/>
          <w:szCs w:val="30"/>
        </w:rPr>
        <w:t>专家委员会开展业务时须冠以“安徽省建设工程项目管理协会专家委员会”全称。未经专家委员会许可，专家委员会委员不得以专家委员会的名义组织任何活动。</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 xml:space="preserve">第十五条 </w:t>
      </w:r>
      <w:r>
        <w:rPr>
          <w:rFonts w:hint="eastAsia" w:ascii="仿宋" w:hAnsi="仿宋" w:eastAsia="仿宋" w:cs="仿宋"/>
          <w:sz w:val="30"/>
          <w:szCs w:val="30"/>
        </w:rPr>
        <w:t>专家委员会成员在咨询服务、评优、评审等活动中实行回避制，坚持公开、公正、公平的原则，严格组织纪律。</w:t>
      </w:r>
    </w:p>
    <w:p>
      <w:pPr>
        <w:tabs>
          <w:tab w:val="left" w:pos="1260"/>
        </w:tabs>
        <w:snapToGrid w:val="0"/>
        <w:spacing w:line="360" w:lineRule="auto"/>
        <w:rPr>
          <w:rFonts w:hint="eastAsia" w:ascii="仿宋" w:hAnsi="仿宋" w:eastAsia="仿宋" w:cs="仿宋"/>
          <w:sz w:val="30"/>
          <w:szCs w:val="30"/>
        </w:rPr>
      </w:pPr>
      <w:r>
        <w:rPr>
          <w:rFonts w:hint="eastAsia" w:ascii="仿宋" w:hAnsi="仿宋" w:eastAsia="仿宋" w:cs="仿宋"/>
          <w:sz w:val="30"/>
          <w:szCs w:val="30"/>
        </w:rPr>
        <w:t>第十六条 专家委员会成员在受委托开展的各项业务活动中，按照有关规定收取报酬，严禁以任何名目或形式接收超越政策规定外的报酬或礼品（金），严禁违反法律、法规和危害国家、行业利益，丧失职业道德或收受贿赂的行为。</w:t>
      </w:r>
    </w:p>
    <w:p>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第五章  经费管理</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第十七条 专家委员会工作经费包括：</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（一）协会拨付日常工作经费和专项经费；</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（二）开展课题研究自筹的工作经费；</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（三）开展咨询服务的收入。</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第十八条 专家委员会经费管理</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（一）协会财务部负责专家委员会经费收支的统一管理；</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（二）专家委员会经费管理要执行国家有关财务管理规定，并接受协会的监督。</w:t>
      </w:r>
    </w:p>
    <w:p>
      <w:pPr>
        <w:spacing w:line="360" w:lineRule="auto"/>
        <w:jc w:val="center"/>
        <w:rPr>
          <w:rFonts w:hint="eastAsia" w:ascii="仿宋" w:hAnsi="仿宋" w:eastAsia="仿宋" w:cs="仿宋"/>
          <w:b/>
          <w:kern w:val="0"/>
          <w:sz w:val="30"/>
          <w:szCs w:val="30"/>
        </w:rPr>
      </w:pPr>
      <w:r>
        <w:rPr>
          <w:rFonts w:hint="eastAsia" w:ascii="仿宋" w:hAnsi="仿宋" w:eastAsia="仿宋" w:cs="仿宋"/>
          <w:b/>
          <w:kern w:val="0"/>
          <w:sz w:val="30"/>
          <w:szCs w:val="30"/>
        </w:rPr>
        <w:t>第六章 附则</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第十九条　本办法经协会会长办公会议审议通过，自发布之日起实施。</w:t>
      </w:r>
    </w:p>
    <w:p>
      <w:pPr>
        <w:spacing w:line="360" w:lineRule="auto"/>
        <w:rPr>
          <w:rFonts w:hint="eastAsia" w:ascii="仿宋" w:hAnsi="仿宋" w:eastAsia="仿宋" w:cs="仿宋"/>
          <w:kern w:val="0"/>
          <w:sz w:val="30"/>
          <w:szCs w:val="30"/>
        </w:rPr>
      </w:pPr>
      <w:r>
        <w:rPr>
          <w:rFonts w:hint="eastAsia" w:ascii="仿宋" w:hAnsi="仿宋" w:eastAsia="仿宋" w:cs="仿宋"/>
          <w:kern w:val="0"/>
          <w:sz w:val="30"/>
          <w:szCs w:val="30"/>
        </w:rPr>
        <w:t>第二十条　本办法由专家委员会负责解释。</w:t>
      </w:r>
    </w:p>
    <w:p>
      <w:pPr>
        <w:spacing w:line="360" w:lineRule="auto"/>
        <w:rPr>
          <w:rFonts w:hint="eastAsia" w:ascii="仿宋" w:hAnsi="仿宋" w:eastAsia="仿宋" w:cs="仿宋"/>
          <w:kern w:val="0"/>
          <w:sz w:val="30"/>
          <w:szCs w:val="30"/>
        </w:rPr>
      </w:pPr>
    </w:p>
    <w:p>
      <w:pPr>
        <w:spacing w:line="360" w:lineRule="auto"/>
        <w:jc w:val="center"/>
        <w:rPr>
          <w:rFonts w:hint="eastAsia" w:ascii="仿宋" w:hAnsi="仿宋" w:eastAsia="仿宋" w:cs="仿宋"/>
          <w:kern w:val="0"/>
          <w:sz w:val="30"/>
          <w:szCs w:val="30"/>
        </w:rPr>
      </w:pPr>
      <w:r>
        <w:rPr>
          <w:rFonts w:hint="eastAsia" w:ascii="仿宋" w:hAnsi="仿宋" w:eastAsia="仿宋" w:cs="仿宋"/>
          <w:kern w:val="0"/>
          <w:sz w:val="30"/>
          <w:szCs w:val="30"/>
        </w:rPr>
        <w:t>　　</w:t>
      </w:r>
    </w:p>
    <w:p>
      <w:pPr>
        <w:spacing w:line="360" w:lineRule="auto"/>
        <w:rPr>
          <w:rFonts w:hint="eastAsia" w:ascii="仿宋" w:hAnsi="仿宋" w:eastAsia="仿宋" w:cs="仿宋"/>
          <w:sz w:val="30"/>
          <w:szCs w:val="3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3B8"/>
    <w:rsid w:val="000118A1"/>
    <w:rsid w:val="00037DB0"/>
    <w:rsid w:val="00062F7A"/>
    <w:rsid w:val="000862F5"/>
    <w:rsid w:val="000C0960"/>
    <w:rsid w:val="001253B8"/>
    <w:rsid w:val="001834D3"/>
    <w:rsid w:val="001B770F"/>
    <w:rsid w:val="001F1EF7"/>
    <w:rsid w:val="00262C91"/>
    <w:rsid w:val="00272B63"/>
    <w:rsid w:val="00307235"/>
    <w:rsid w:val="00313350"/>
    <w:rsid w:val="00316899"/>
    <w:rsid w:val="00316D80"/>
    <w:rsid w:val="003A6E8F"/>
    <w:rsid w:val="003D28F5"/>
    <w:rsid w:val="00417E6F"/>
    <w:rsid w:val="0043563C"/>
    <w:rsid w:val="004A3CA1"/>
    <w:rsid w:val="005652F6"/>
    <w:rsid w:val="0058738C"/>
    <w:rsid w:val="005B5584"/>
    <w:rsid w:val="00673CB6"/>
    <w:rsid w:val="006B2EFD"/>
    <w:rsid w:val="006B4C69"/>
    <w:rsid w:val="006D22D6"/>
    <w:rsid w:val="007D3A8E"/>
    <w:rsid w:val="007F0C35"/>
    <w:rsid w:val="00801582"/>
    <w:rsid w:val="0084078D"/>
    <w:rsid w:val="00861A3C"/>
    <w:rsid w:val="00872C9A"/>
    <w:rsid w:val="00977847"/>
    <w:rsid w:val="009E5D9B"/>
    <w:rsid w:val="009F51E9"/>
    <w:rsid w:val="00A1026E"/>
    <w:rsid w:val="00A21107"/>
    <w:rsid w:val="00A51ADB"/>
    <w:rsid w:val="00A72B7C"/>
    <w:rsid w:val="00AC61EE"/>
    <w:rsid w:val="00AD4814"/>
    <w:rsid w:val="00B5041D"/>
    <w:rsid w:val="00B8242E"/>
    <w:rsid w:val="00BA199F"/>
    <w:rsid w:val="00BA3DCE"/>
    <w:rsid w:val="00BB4577"/>
    <w:rsid w:val="00BD458B"/>
    <w:rsid w:val="00BE0823"/>
    <w:rsid w:val="00C40E57"/>
    <w:rsid w:val="00C74DE9"/>
    <w:rsid w:val="00CF0BCC"/>
    <w:rsid w:val="00D06BDE"/>
    <w:rsid w:val="00EE156A"/>
    <w:rsid w:val="00FB768E"/>
    <w:rsid w:val="00FF5D17"/>
    <w:rsid w:val="337C0D74"/>
    <w:rsid w:val="3DDF4A24"/>
    <w:rsid w:val="73BC0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22"/>
    <w:rPr>
      <w:b/>
      <w:bCs/>
    </w:rPr>
  </w:style>
  <w:style w:type="character" w:customStyle="1" w:styleId="9">
    <w:name w:val="标题 1 Char"/>
    <w:basedOn w:val="7"/>
    <w:link w:val="2"/>
    <w:qFormat/>
    <w:uiPriority w:val="9"/>
    <w:rPr>
      <w:b/>
      <w:bCs/>
      <w:kern w:val="44"/>
      <w:sz w:val="44"/>
      <w:szCs w:val="44"/>
    </w:r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2">
      <a:dk1>
        <a:sysClr val="windowText" lastClr="000000"/>
      </a:dk1>
      <a:lt1>
        <a:sysClr val="window" lastClr="FFFFFF"/>
      </a:lt1>
      <a:dk2>
        <a:srgbClr val="2F2F2F"/>
      </a:dk2>
      <a:lt2>
        <a:srgbClr val="FFFFF4"/>
      </a:lt2>
      <a:accent1>
        <a:srgbClr val="918415"/>
      </a:accent1>
      <a:accent2>
        <a:srgbClr val="C47546"/>
      </a:accent2>
      <a:accent3>
        <a:srgbClr val="AFB591"/>
      </a:accent3>
      <a:accent4>
        <a:srgbClr val="B9945B"/>
      </a:accent4>
      <a:accent5>
        <a:srgbClr val="85ADBC"/>
      </a:accent5>
      <a:accent6>
        <a:srgbClr val="E5B440"/>
      </a:accent6>
      <a:hlink>
        <a:srgbClr val="00D5D5"/>
      </a:hlink>
      <a:folHlink>
        <a:srgbClr val="DD00D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368</Words>
  <Characters>2100</Characters>
  <Lines>17</Lines>
  <Paragraphs>4</Paragraphs>
  <TotalTime>7</TotalTime>
  <ScaleCrop>false</ScaleCrop>
  <LinksUpToDate>false</LinksUpToDate>
  <CharactersWithSpaces>2464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2020-01-08T01:24:00Z</dcterms:created>
  <dc:creator>Administrator</dc:creator>
  <cp:lastModifiedBy>遗忘时间</cp:lastModifiedBy>
  <cp:lastPrinted>2020-01-20T04:16:17Z</cp:lastPrinted>
  <dcterms:modified xsi:type="dcterms:W3CDTF">2020-01-20T04:19:04Z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